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79"/>
        <w:ind w:left="2375" w:right="2032" w:hanging="348"/>
      </w:pPr>
      <w:r>
        <w:rPr/>
        <w:t>UNDERTAKING ON THE LETTERHEAD OF THE</w:t>
      </w:r>
      <w:r>
        <w:rPr>
          <w:spacing w:val="-57"/>
        </w:rPr>
        <w:t> </w:t>
      </w:r>
      <w:r>
        <w:rPr/>
        <w:t>UNLISTED</w:t>
      </w:r>
      <w:r>
        <w:rPr>
          <w:spacing w:val="-1"/>
        </w:rPr>
        <w:t> </w:t>
      </w:r>
      <w:r>
        <w:rPr/>
        <w:t>PRIVATE</w:t>
      </w:r>
      <w:r>
        <w:rPr>
          <w:spacing w:val="-3"/>
        </w:rPr>
        <w:t> </w:t>
      </w:r>
      <w:r>
        <w:rPr/>
        <w:t>LIMITED</w:t>
      </w:r>
      <w:r>
        <w:rPr>
          <w:spacing w:val="-1"/>
        </w:rPr>
        <w:t> </w:t>
      </w:r>
      <w:r>
        <w:rPr/>
        <w:t>COMPANY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0"/>
        </w:rPr>
      </w:pPr>
    </w:p>
    <w:p>
      <w:pPr>
        <w:pStyle w:val="BodyText"/>
        <w:tabs>
          <w:tab w:pos="5367" w:val="left" w:leader="none"/>
        </w:tabs>
        <w:spacing w:line="276" w:lineRule="auto"/>
        <w:ind w:left="100" w:right="115"/>
        <w:jc w:val="both"/>
      </w:pPr>
      <w:r>
        <w:rPr/>
        <w:t>We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unlisted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incorporated under the Companies Act, 1956/ 2013, (hereinafter called “</w:t>
      </w:r>
      <w:r>
        <w:rPr>
          <w:b/>
        </w:rPr>
        <w:t>the Company</w:t>
      </w:r>
      <w:r>
        <w:rPr/>
        <w:t>”) are</w:t>
      </w:r>
      <w:r>
        <w:rPr>
          <w:spacing w:val="1"/>
        </w:rPr>
        <w:t> </w:t>
      </w:r>
      <w:r>
        <w:rPr/>
        <w:t>desirous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admit</w:t>
      </w:r>
      <w:r>
        <w:rPr>
          <w:spacing w:val="-3"/>
        </w:rPr>
        <w:t> </w:t>
      </w:r>
      <w:r>
        <w:rPr/>
        <w:t>our</w:t>
      </w:r>
      <w:r>
        <w:rPr>
          <w:spacing w:val="-5"/>
        </w:rPr>
        <w:t> </w:t>
      </w:r>
      <w:r>
        <w:rPr/>
        <w:t>equity</w:t>
      </w:r>
      <w:r>
        <w:rPr>
          <w:spacing w:val="-4"/>
        </w:rPr>
        <w:t> </w:t>
      </w:r>
      <w:r>
        <w:rPr/>
        <w:t>shares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dematerialization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Depository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(India)</w:t>
      </w:r>
      <w:r>
        <w:rPr>
          <w:spacing w:val="-58"/>
        </w:rPr>
        <w:t> </w:t>
      </w:r>
      <w:r>
        <w:rPr/>
        <w:t>Limited</w:t>
      </w:r>
      <w:r>
        <w:rPr>
          <w:spacing w:val="-1"/>
        </w:rPr>
        <w:t> </w:t>
      </w:r>
      <w:r>
        <w:rPr/>
        <w:t>(hereinafter called “</w:t>
      </w:r>
      <w:r>
        <w:rPr>
          <w:b/>
        </w:rPr>
        <w:t>CDSL</w:t>
      </w:r>
      <w:r>
        <w:rPr/>
        <w:t>”).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8" w:lineRule="auto"/>
        <w:ind w:left="100" w:right="124"/>
        <w:jc w:val="both"/>
      </w:pPr>
      <w:r>
        <w:rPr/>
        <w:t>The Company places on record that it is fully aware of the following facts and law pertaining to</w:t>
      </w:r>
      <w:r>
        <w:rPr>
          <w:spacing w:val="1"/>
        </w:rPr>
        <w:t> </w:t>
      </w:r>
      <w:r>
        <w:rPr/>
        <w:t>Private</w:t>
      </w:r>
      <w:r>
        <w:rPr>
          <w:spacing w:val="-1"/>
        </w:rPr>
        <w:t> </w:t>
      </w:r>
      <w:r>
        <w:rPr/>
        <w:t>Limited Companies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0" w:right="117" w:hanging="360"/>
        <w:jc w:val="both"/>
        <w:rPr>
          <w:sz w:val="24"/>
        </w:rPr>
      </w:pPr>
      <w:r>
        <w:rPr>
          <w:sz w:val="24"/>
        </w:rPr>
        <w:t>That the right to transfer its shares is restricted under Sections 2(68) and 56 of the Companies</w:t>
      </w:r>
      <w:r>
        <w:rPr>
          <w:spacing w:val="-57"/>
          <w:sz w:val="24"/>
        </w:rPr>
        <w:t> </w:t>
      </w:r>
      <w:r>
        <w:rPr>
          <w:sz w:val="24"/>
        </w:rPr>
        <w:t>Act,</w:t>
      </w:r>
      <w:r>
        <w:rPr>
          <w:spacing w:val="-1"/>
          <w:sz w:val="24"/>
        </w:rPr>
        <w:t> </w:t>
      </w:r>
      <w:r>
        <w:rPr>
          <w:sz w:val="24"/>
        </w:rPr>
        <w:t>2013;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its members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exceed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hundred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41" w:after="0"/>
        <w:ind w:left="460" w:right="115" w:hanging="360"/>
        <w:jc w:val="both"/>
        <w:rPr>
          <w:sz w:val="24"/>
        </w:rPr>
      </w:pPr>
      <w:r>
        <w:rPr>
          <w:sz w:val="24"/>
        </w:rPr>
        <w:t>That the Company is prohibited to invite the public to subscribe for any securities; under</w:t>
      </w:r>
      <w:r>
        <w:rPr>
          <w:spacing w:val="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2(68)(iii)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Companies Act,</w:t>
      </w:r>
      <w:r>
        <w:rPr>
          <w:spacing w:val="1"/>
          <w:sz w:val="24"/>
        </w:rPr>
        <w:t> </w:t>
      </w:r>
      <w:r>
        <w:rPr>
          <w:sz w:val="24"/>
        </w:rPr>
        <w:t>2013;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8" w:lineRule="auto" w:before="0" w:after="0"/>
        <w:ind w:left="460" w:right="122" w:hanging="360"/>
        <w:jc w:val="both"/>
        <w:rPr>
          <w:sz w:val="24"/>
        </w:rPr>
      </w:pPr>
      <w:r>
        <w:rPr>
          <w:sz w:val="24"/>
        </w:rPr>
        <w:t>The depository has no control over the transfer of shares in demat form in terms of Section</w:t>
      </w:r>
      <w:r>
        <w:rPr>
          <w:spacing w:val="1"/>
          <w:sz w:val="24"/>
        </w:rPr>
        <w:t> </w:t>
      </w:r>
      <w:r>
        <w:rPr>
          <w:sz w:val="24"/>
        </w:rPr>
        <w:t>7(1)</w:t>
      </w:r>
      <w:r>
        <w:rPr>
          <w:spacing w:val="-3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Depositories</w:t>
      </w:r>
      <w:r>
        <w:rPr>
          <w:spacing w:val="2"/>
          <w:sz w:val="24"/>
        </w:rPr>
        <w:t> </w:t>
      </w:r>
      <w:r>
        <w:rPr>
          <w:sz w:val="24"/>
        </w:rPr>
        <w:t>Act, 1996;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460" w:right="124" w:hanging="360"/>
        <w:jc w:val="both"/>
        <w:rPr>
          <w:sz w:val="24"/>
        </w:rPr>
      </w:pPr>
      <w:r>
        <w:rPr>
          <w:sz w:val="24"/>
        </w:rPr>
        <w:t>That the provisions of the Depositories Act, 1996 are in addition and not in derogation of any</w:t>
      </w:r>
      <w:r>
        <w:rPr>
          <w:spacing w:val="-57"/>
          <w:sz w:val="24"/>
        </w:rPr>
        <w:t> </w:t>
      </w:r>
      <w:r>
        <w:rPr>
          <w:sz w:val="24"/>
        </w:rPr>
        <w:t>other law for the time being in force relating to the holding and transfer of securities in terms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Section 28 of</w:t>
      </w:r>
      <w:r>
        <w:rPr>
          <w:spacing w:val="-1"/>
          <w:sz w:val="24"/>
        </w:rPr>
        <w:t> </w:t>
      </w:r>
      <w:r>
        <w:rPr>
          <w:sz w:val="24"/>
        </w:rPr>
        <w:t>the Depositories Act, 1996.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100"/>
        <w:jc w:val="both"/>
      </w:pPr>
      <w:r>
        <w:rPr/>
        <w:t>We</w:t>
      </w:r>
      <w:r>
        <w:rPr>
          <w:spacing w:val="-2"/>
        </w:rPr>
        <w:t> </w:t>
      </w:r>
      <w:r>
        <w:rPr/>
        <w:t>hereby</w:t>
      </w:r>
      <w:r>
        <w:rPr>
          <w:spacing w:val="-1"/>
        </w:rPr>
        <w:t> </w:t>
      </w:r>
      <w:r>
        <w:rPr/>
        <w:t>confirm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undertake: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460" w:right="115" w:hanging="360"/>
        <w:jc w:val="both"/>
      </w:pPr>
      <w:r>
        <w:rPr/>
        <w:t>1.</w:t>
      </w:r>
      <w:r>
        <w:rPr>
          <w:spacing w:val="1"/>
        </w:rPr>
        <w:t> </w:t>
      </w:r>
      <w:r>
        <w:rPr/>
        <w:t>That the Company shall at all times ensure that the provisions of the Companies Act 2013,</w:t>
      </w:r>
      <w:r>
        <w:rPr>
          <w:spacing w:val="1"/>
        </w:rPr>
        <w:t> </w:t>
      </w:r>
      <w:r>
        <w:rPr/>
        <w:t>Securities and Exchange Board of India Act, 1992 and SEBI (Depositories and Participants)</w:t>
      </w:r>
      <w:r>
        <w:rPr>
          <w:spacing w:val="1"/>
        </w:rPr>
        <w:t> </w:t>
      </w:r>
      <w:r>
        <w:rPr/>
        <w:t>Regulations, 2018</w:t>
      </w:r>
      <w:r>
        <w:rPr>
          <w:spacing w:val="1"/>
        </w:rPr>
        <w:t> </w:t>
      </w:r>
      <w:r>
        <w:rPr/>
        <w:t>and all other applicable Rules and Regulations including those made by</w:t>
      </w:r>
      <w:r>
        <w:rPr>
          <w:spacing w:val="1"/>
        </w:rPr>
        <w:t> </w:t>
      </w:r>
      <w:r>
        <w:rPr/>
        <w:t>SEBI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admission/issuance</w:t>
      </w:r>
      <w:r>
        <w:rPr>
          <w:spacing w:val="1"/>
        </w:rPr>
        <w:t> </w:t>
      </w:r>
      <w:r>
        <w:rPr/>
        <w:t>allotment,</w:t>
      </w:r>
      <w:r>
        <w:rPr>
          <w:spacing w:val="1"/>
        </w:rPr>
        <w:t> </w:t>
      </w:r>
      <w:r>
        <w:rPr/>
        <w:t>transfer,</w:t>
      </w:r>
      <w:r>
        <w:rPr>
          <w:spacing w:val="1"/>
        </w:rPr>
        <w:t> </w:t>
      </w:r>
      <w:r>
        <w:rPr/>
        <w:t>dematerialization and rematerialization etc., are duly complied with and shall further ensure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Company duly observes and performs</w:t>
      </w:r>
      <w:r>
        <w:rPr>
          <w:spacing w:val="-1"/>
        </w:rPr>
        <w:t> </w:t>
      </w:r>
      <w:r>
        <w:rPr/>
        <w:t>all its obligations there</w:t>
      </w:r>
      <w:r>
        <w:rPr>
          <w:spacing w:val="-2"/>
        </w:rPr>
        <w:t> </w:t>
      </w:r>
      <w:r>
        <w:rPr/>
        <w:t>under.</w:t>
      </w:r>
    </w:p>
    <w:p>
      <w:pPr>
        <w:pStyle w:val="BodyText"/>
        <w:spacing w:line="276" w:lineRule="auto" w:before="2"/>
        <w:ind w:left="460" w:right="118" w:hanging="360"/>
        <w:jc w:val="both"/>
      </w:pPr>
      <w:r>
        <w:rPr/>
        <w:t>2</w:t>
      </w:r>
      <w:r>
        <w:rPr>
          <w:spacing w:val="58"/>
        </w:rPr>
        <w:t> </w:t>
      </w:r>
      <w:r>
        <w:rPr/>
        <w:t>The</w:t>
      </w:r>
      <w:r>
        <w:rPr>
          <w:spacing w:val="-15"/>
        </w:rPr>
        <w:t> </w:t>
      </w:r>
      <w:r>
        <w:rPr/>
        <w:t>Company</w:t>
      </w:r>
      <w:r>
        <w:rPr>
          <w:spacing w:val="-14"/>
        </w:rPr>
        <w:t> </w:t>
      </w:r>
      <w:r>
        <w:rPr/>
        <w:t>shall</w:t>
      </w:r>
      <w:r>
        <w:rPr>
          <w:spacing w:val="-9"/>
        </w:rPr>
        <w:t> </w:t>
      </w:r>
      <w:r>
        <w:rPr/>
        <w:t>regularly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diligently</w:t>
      </w:r>
      <w:r>
        <w:rPr>
          <w:spacing w:val="-12"/>
        </w:rPr>
        <w:t> </w:t>
      </w:r>
      <w:r>
        <w:rPr/>
        <w:t>reconcile</w:t>
      </w:r>
      <w:r>
        <w:rPr>
          <w:spacing w:val="-14"/>
        </w:rPr>
        <w:t> </w:t>
      </w:r>
      <w:r>
        <w:rPr/>
        <w:t>its</w:t>
      </w:r>
      <w:r>
        <w:rPr>
          <w:spacing w:val="-12"/>
        </w:rPr>
        <w:t> </w:t>
      </w:r>
      <w:r>
        <w:rPr/>
        <w:t>dematerialized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physical</w:t>
      </w:r>
      <w:r>
        <w:rPr>
          <w:spacing w:val="-12"/>
        </w:rPr>
        <w:t> </w:t>
      </w:r>
      <w:r>
        <w:rPr/>
        <w:t>securities</w:t>
      </w:r>
      <w:r>
        <w:rPr>
          <w:spacing w:val="-58"/>
        </w:rPr>
        <w:t> </w:t>
      </w:r>
      <w:r>
        <w:rPr/>
        <w:t>and shall in particular ensure that the aggregate of (i) the dematerialized securities (in all</w:t>
      </w:r>
      <w:r>
        <w:rPr>
          <w:spacing w:val="1"/>
        </w:rPr>
        <w:t> </w:t>
      </w:r>
      <w:r>
        <w:rPr/>
        <w:t>depositories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together)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(ii)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pending</w:t>
      </w:r>
      <w:r>
        <w:rPr>
          <w:spacing w:val="1"/>
        </w:rPr>
        <w:t> </w:t>
      </w:r>
      <w:r>
        <w:rPr/>
        <w:t>dematerialization</w:t>
      </w:r>
      <w:r>
        <w:rPr>
          <w:spacing w:val="-1"/>
        </w:rPr>
        <w:t> </w:t>
      </w:r>
      <w:r>
        <w:rPr/>
        <w:t>does not exceed the</w:t>
      </w:r>
      <w:r>
        <w:rPr>
          <w:spacing w:val="-1"/>
        </w:rPr>
        <w:t> </w:t>
      </w:r>
      <w:r>
        <w:rPr/>
        <w:t>issued capital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Company.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6" w:lineRule="auto" w:before="0" w:after="0"/>
        <w:ind w:left="460" w:right="122" w:hanging="360"/>
        <w:jc w:val="both"/>
        <w:rPr>
          <w:sz w:val="24"/>
        </w:rPr>
      </w:pPr>
      <w:r>
        <w:rPr>
          <w:sz w:val="24"/>
        </w:rPr>
        <w:t>The Company agrees, declares and confirms that the reconciliation of its securities (including</w:t>
      </w:r>
      <w:r>
        <w:rPr>
          <w:spacing w:val="-57"/>
          <w:sz w:val="24"/>
        </w:rPr>
        <w:t> </w:t>
      </w:r>
      <w:r>
        <w:rPr>
          <w:sz w:val="24"/>
        </w:rPr>
        <w:t>dematerialized securities) is the sole obligation of the Company and its RTA, if any, and 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-1"/>
          <w:sz w:val="24"/>
        </w:rPr>
        <w:t> </w:t>
      </w:r>
      <w:r>
        <w:rPr>
          <w:sz w:val="24"/>
        </w:rPr>
        <w:t>shall not look to</w:t>
      </w:r>
      <w:r>
        <w:rPr>
          <w:spacing w:val="-1"/>
          <w:sz w:val="24"/>
        </w:rPr>
        <w:t> </w:t>
      </w:r>
      <w:r>
        <w:rPr>
          <w:sz w:val="24"/>
        </w:rPr>
        <w:t>CDSL or hold CDSL liable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responsible</w:t>
      </w:r>
      <w:r>
        <w:rPr>
          <w:spacing w:val="-1"/>
          <w:sz w:val="24"/>
        </w:rPr>
        <w:t> </w:t>
      </w:r>
      <w:r>
        <w:rPr>
          <w:sz w:val="24"/>
        </w:rPr>
        <w:t>in this behalf.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footer="768" w:top="1360" w:bottom="960" w:left="1340" w:right="13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76" w:lineRule="auto" w:before="79" w:after="0"/>
        <w:ind w:left="371" w:right="115" w:hanging="272"/>
        <w:jc w:val="both"/>
        <w:rPr>
          <w:rFonts w:ascii="Calibri"/>
          <w:sz w:val="22"/>
        </w:rPr>
      </w:pPr>
      <w:r>
        <w:rPr>
          <w:sz w:val="24"/>
        </w:rPr>
        <w:t>The Company agrees and undertakes to indemnify and keep indemnified and harmless CDSL,</w:t>
      </w:r>
      <w:r>
        <w:rPr>
          <w:spacing w:val="1"/>
          <w:sz w:val="24"/>
        </w:rPr>
        <w:t> </w:t>
      </w:r>
      <w:r>
        <w:rPr>
          <w:sz w:val="24"/>
        </w:rPr>
        <w:t>its Directors and employees, from and against any and all liability resulting from claims,</w:t>
      </w:r>
      <w:r>
        <w:rPr>
          <w:spacing w:val="1"/>
          <w:sz w:val="24"/>
        </w:rPr>
        <w:t> </w:t>
      </w:r>
      <w:r>
        <w:rPr>
          <w:sz w:val="24"/>
        </w:rPr>
        <w:t>demands,</w:t>
      </w:r>
      <w:r>
        <w:rPr>
          <w:spacing w:val="-9"/>
          <w:sz w:val="24"/>
        </w:rPr>
        <w:t> </w:t>
      </w:r>
      <w:r>
        <w:rPr>
          <w:sz w:val="24"/>
        </w:rPr>
        <w:t>penalties,</w:t>
      </w:r>
      <w:r>
        <w:rPr>
          <w:spacing w:val="-9"/>
          <w:sz w:val="24"/>
        </w:rPr>
        <w:t> </w:t>
      </w:r>
      <w:r>
        <w:rPr>
          <w:sz w:val="24"/>
        </w:rPr>
        <w:t>suits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judgements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costs,</w:t>
      </w:r>
      <w:r>
        <w:rPr>
          <w:spacing w:val="-9"/>
          <w:sz w:val="24"/>
        </w:rPr>
        <w:t> </w:t>
      </w:r>
      <w:r>
        <w:rPr>
          <w:sz w:val="24"/>
        </w:rPr>
        <w:t>charges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expenses</w:t>
      </w:r>
      <w:r>
        <w:rPr>
          <w:spacing w:val="-8"/>
          <w:sz w:val="24"/>
        </w:rPr>
        <w:t> </w:t>
      </w:r>
      <w:r>
        <w:rPr>
          <w:sz w:val="24"/>
        </w:rPr>
        <w:t>relating</w:t>
      </w:r>
      <w:r>
        <w:rPr>
          <w:spacing w:val="-8"/>
          <w:sz w:val="24"/>
        </w:rPr>
        <w:t> </w:t>
      </w:r>
      <w:r>
        <w:rPr>
          <w:sz w:val="24"/>
        </w:rPr>
        <w:t>thereto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result of a</w:t>
      </w:r>
      <w:r>
        <w:rPr>
          <w:spacing w:val="-2"/>
          <w:sz w:val="24"/>
        </w:rPr>
        <w:t> </w:t>
      </w:r>
      <w:r>
        <w:rPr>
          <w:sz w:val="24"/>
        </w:rPr>
        <w:t>breach by the</w:t>
      </w:r>
      <w:r>
        <w:rPr>
          <w:spacing w:val="-1"/>
          <w:sz w:val="24"/>
        </w:rPr>
        <w:t> </w:t>
      </w:r>
      <w:r>
        <w:rPr>
          <w:sz w:val="24"/>
        </w:rPr>
        <w:t>Company of</w:t>
      </w:r>
      <w:r>
        <w:rPr>
          <w:spacing w:val="-2"/>
          <w:sz w:val="24"/>
        </w:rPr>
        <w:t> </w:t>
      </w:r>
      <w:r>
        <w:rPr>
          <w:sz w:val="24"/>
        </w:rPr>
        <w:t>its covenants as stated hereinabove.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00"/>
      </w:pPr>
      <w:r>
        <w:rPr/>
        <w:t>Yours</w:t>
      </w:r>
      <w:r>
        <w:rPr>
          <w:spacing w:val="-2"/>
        </w:rPr>
        <w:t> </w:t>
      </w:r>
      <w:r>
        <w:rPr/>
        <w:t>faithfully,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rPr/>
        <w:t>For</w:t>
      </w:r>
      <w:r>
        <w:rPr>
          <w:spacing w:val="-3"/>
        </w:rPr>
        <w:t> </w:t>
      </w:r>
      <w:r>
        <w:rPr/>
        <w:t>(Name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Company)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2"/>
        </w:rPr>
      </w:pPr>
    </w:p>
    <w:p>
      <w:pPr>
        <w:spacing w:line="276" w:lineRule="auto" w:before="0"/>
        <w:ind w:left="100" w:right="8246" w:firstLine="0"/>
        <w:jc w:val="left"/>
        <w:rPr>
          <w:b/>
          <w:sz w:val="24"/>
        </w:rPr>
      </w:pPr>
      <w:r>
        <w:rPr>
          <w:b/>
          <w:sz w:val="24"/>
        </w:rPr>
        <w:t>(Signature)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Designation</w:t>
      </w:r>
    </w:p>
    <w:sectPr>
      <w:pgSz w:w="12240" w:h="15840"/>
      <w:pgMar w:header="0" w:footer="768" w:top="1360" w:bottom="9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987pt;margin-top:742.604736pt;width:42.05pt;height:15.45pt;mso-position-horizontal-relative:page;mso-position-vertical-relative:page;z-index:-157629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color w:val="F9F9D1"/>
                  </w:rPr>
                  <w:t>Internal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46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15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shelmad</dc:creator>
  <dcterms:created xsi:type="dcterms:W3CDTF">2024-11-13T11:38:53Z</dcterms:created>
  <dcterms:modified xsi:type="dcterms:W3CDTF">2024-11-13T11:38:53Z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</Properties>
</file>